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6468"/>
      </w:tblGrid>
      <w:tr w:rsidR="00E26A17" w14:paraId="49D9A167" w14:textId="77777777" w:rsidTr="00E26A17">
        <w:tc>
          <w:tcPr>
            <w:tcW w:w="2594" w:type="dxa"/>
          </w:tcPr>
          <w:p w14:paraId="1F674966" w14:textId="77777777" w:rsidR="00E26A17" w:rsidRDefault="00E26A17" w:rsidP="00E26A17">
            <w:pPr>
              <w:jc w:val="center"/>
              <w:rPr>
                <w:b/>
                <w:i/>
                <w:sz w:val="44"/>
                <w:szCs w:val="44"/>
              </w:rPr>
            </w:pPr>
            <w:r w:rsidRPr="00E26A17">
              <w:rPr>
                <w:noProof/>
                <w:lang w:eastAsia="fr-FR"/>
              </w:rPr>
              <w:drawing>
                <wp:inline distT="0" distB="0" distL="0" distR="0" wp14:anchorId="276C9760" wp14:editId="0BF7F387">
                  <wp:extent cx="1510030" cy="8286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79250" w14:textId="77777777" w:rsidR="00E26A17" w:rsidRDefault="00E26A17" w:rsidP="00E26A17">
            <w:pPr>
              <w:jc w:val="center"/>
              <w:rPr>
                <w:b/>
                <w:i/>
                <w:sz w:val="44"/>
                <w:szCs w:val="44"/>
              </w:rPr>
            </w:pPr>
          </w:p>
          <w:p w14:paraId="7E34F31B" w14:textId="77777777" w:rsidR="00E26A17" w:rsidRDefault="00E26A17" w:rsidP="00E26A17">
            <w:pPr>
              <w:jc w:val="center"/>
              <w:rPr>
                <w:b/>
                <w:i/>
                <w:sz w:val="44"/>
                <w:szCs w:val="44"/>
              </w:rPr>
            </w:pPr>
          </w:p>
        </w:tc>
        <w:tc>
          <w:tcPr>
            <w:tcW w:w="6468" w:type="dxa"/>
          </w:tcPr>
          <w:p w14:paraId="505F502A" w14:textId="77777777" w:rsidR="00E26A17" w:rsidRPr="00E26A17" w:rsidRDefault="00E26A17" w:rsidP="00E26A17">
            <w:pPr>
              <w:jc w:val="center"/>
              <w:rPr>
                <w:b/>
                <w:i/>
                <w:sz w:val="36"/>
                <w:szCs w:val="36"/>
              </w:rPr>
            </w:pPr>
            <w:r w:rsidRPr="00E26A17">
              <w:rPr>
                <w:b/>
                <w:i/>
                <w:sz w:val="36"/>
                <w:szCs w:val="36"/>
              </w:rPr>
              <w:t>Colloque du cinquantenaire des IREM</w:t>
            </w:r>
          </w:p>
          <w:p w14:paraId="739330C0" w14:textId="61075C0C" w:rsidR="00E26A17" w:rsidRPr="00DA36D9" w:rsidRDefault="00DA36D9" w:rsidP="00E26A17">
            <w:pPr>
              <w:jc w:val="center"/>
              <w:rPr>
                <w:b/>
                <w:i/>
                <w:sz w:val="32"/>
                <w:szCs w:val="32"/>
              </w:rPr>
            </w:pPr>
            <w:r w:rsidRPr="00DA36D9">
              <w:rPr>
                <w:rFonts w:cstheme="minorHAnsi"/>
                <w:b/>
                <w:i/>
                <w:sz w:val="32"/>
                <w:szCs w:val="32"/>
              </w:rPr>
              <w:t>Besançon les 9, 10 et 11 mai</w:t>
            </w:r>
            <w:r w:rsidRPr="00DA36D9">
              <w:rPr>
                <w:rFonts w:cstheme="minorHAnsi"/>
                <w:b/>
                <w:i/>
                <w:sz w:val="32"/>
                <w:szCs w:val="32"/>
              </w:rPr>
              <w:t xml:space="preserve"> 2019</w:t>
            </w:r>
          </w:p>
          <w:p w14:paraId="6E607606" w14:textId="77777777" w:rsidR="00DA36D9" w:rsidRDefault="00DA36D9" w:rsidP="00E26A17">
            <w:pPr>
              <w:jc w:val="center"/>
              <w:rPr>
                <w:i/>
                <w:sz w:val="40"/>
                <w:szCs w:val="40"/>
              </w:rPr>
            </w:pPr>
          </w:p>
          <w:p w14:paraId="70C21941" w14:textId="77777777" w:rsidR="00E26A17" w:rsidRPr="00E26A17" w:rsidRDefault="00E26A17" w:rsidP="00E26A17">
            <w:pPr>
              <w:jc w:val="center"/>
              <w:rPr>
                <w:i/>
                <w:sz w:val="40"/>
                <w:szCs w:val="40"/>
              </w:rPr>
            </w:pPr>
            <w:r w:rsidRPr="00E26A17">
              <w:rPr>
                <w:i/>
                <w:sz w:val="40"/>
                <w:szCs w:val="40"/>
              </w:rPr>
              <w:t>« Enseigner les mathématiques et les sciences : chercher, former, diffuser »</w:t>
            </w:r>
          </w:p>
          <w:p w14:paraId="614FB4D8" w14:textId="77777777" w:rsidR="00E26A17" w:rsidRPr="00DA36D9" w:rsidRDefault="00E26A17" w:rsidP="00E26A1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14:paraId="3D11CB94" w14:textId="10087525" w:rsidR="00E26A17" w:rsidRPr="00EF309D" w:rsidRDefault="00E26A17" w:rsidP="00EF309D">
      <w:pPr>
        <w:pBdr>
          <w:top w:val="single" w:sz="4" w:space="3" w:color="000001"/>
          <w:left w:val="single" w:sz="4" w:space="4" w:color="000001"/>
          <w:bottom w:val="single" w:sz="4" w:space="1" w:color="000001"/>
          <w:right w:val="single" w:sz="4" w:space="0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PROPOSITION D’ATELIER</w:t>
      </w:r>
      <w:r w:rsidR="00EF309D">
        <w:rPr>
          <w:rStyle w:val="Appelnotedebasdep"/>
          <w:rFonts w:cs="Comic Sans MS"/>
        </w:rPr>
        <w:footnoteReference w:id="1"/>
      </w:r>
      <w:r w:rsidR="00DA36D9">
        <w:rPr>
          <w:rFonts w:cs="Comic Sans MS"/>
        </w:rPr>
        <w:t xml:space="preserve"> à renvoyer avant le 29 mars à philippe.leborgne@univ-fcomte.fr</w:t>
      </w:r>
      <w:bookmarkStart w:id="0" w:name="_GoBack"/>
      <w:bookmarkEnd w:id="0"/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38"/>
        <w:gridCol w:w="8080"/>
      </w:tblGrid>
      <w:tr w:rsidR="00E26A17" w:rsidRPr="008650E8" w14:paraId="54F9E949" w14:textId="77777777" w:rsidTr="00EF309D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14:paraId="6EBBBA77" w14:textId="77777777" w:rsidR="00E26A17" w:rsidRPr="008650E8" w:rsidRDefault="00E26A17" w:rsidP="00AF3CCA">
            <w:pPr>
              <w:rPr>
                <w:rFonts w:cs="Comic Sans MS"/>
              </w:rPr>
            </w:pPr>
            <w:r w:rsidRPr="008650E8">
              <w:rPr>
                <w:rFonts w:cs="Comic Sans MS"/>
              </w:rPr>
              <w:t xml:space="preserve">Auteur(s) et rattachement 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14:paraId="32ED4EEF" w14:textId="77777777" w:rsidR="00E26A17" w:rsidRPr="008650E8" w:rsidRDefault="00E26A17" w:rsidP="00AF3CCA">
            <w:pPr>
              <w:rPr>
                <w:rFonts w:cs="Comic Sans MS"/>
              </w:rPr>
            </w:pPr>
          </w:p>
        </w:tc>
      </w:tr>
      <w:tr w:rsidR="00E26A17" w:rsidRPr="008650E8" w14:paraId="4EB04FA8" w14:textId="77777777" w:rsidTr="00EF309D"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14:paraId="127773C8" w14:textId="77777777" w:rsidR="00E26A17" w:rsidRPr="008650E8" w:rsidRDefault="00E26A17" w:rsidP="00AF3CCA">
            <w:pPr>
              <w:rPr>
                <w:rFonts w:cs="Comic Sans MS"/>
              </w:rPr>
            </w:pPr>
            <w:r w:rsidRPr="008650E8">
              <w:rPr>
                <w:rFonts w:cs="Comic Sans MS"/>
              </w:rPr>
              <w:t>Courriel contact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</w:tcPr>
          <w:p w14:paraId="0BA18678" w14:textId="77777777" w:rsidR="00E26A17" w:rsidRPr="008650E8" w:rsidRDefault="00E26A17" w:rsidP="00AF3CCA">
            <w:pPr>
              <w:rPr>
                <w:rFonts w:cs="Comic Sans MS"/>
              </w:rPr>
            </w:pPr>
          </w:p>
        </w:tc>
      </w:tr>
      <w:tr w:rsidR="00E26A17" w:rsidRPr="008650E8" w14:paraId="67CF08A8" w14:textId="77777777" w:rsidTr="00DA36D9">
        <w:trPr>
          <w:trHeight w:val="922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14:paraId="5CECC45C" w14:textId="61B5A1AE" w:rsidR="00E26A17" w:rsidRPr="008650E8" w:rsidRDefault="00E26A17" w:rsidP="00AF3CCA">
            <w:pPr>
              <w:rPr>
                <w:rFonts w:cs="Comic Sans MS"/>
              </w:rPr>
            </w:pPr>
            <w:r w:rsidRPr="008650E8">
              <w:rPr>
                <w:rFonts w:cs="Comic Sans MS"/>
              </w:rPr>
              <w:t>Titre</w:t>
            </w:r>
            <w:r w:rsidR="00DA36D9">
              <w:rPr>
                <w:rFonts w:cs="Comic Sans MS"/>
              </w:rPr>
              <w:t xml:space="preserve"> et thème (chercher, former ou diffuser)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</w:tcPr>
          <w:p w14:paraId="0235DF95" w14:textId="77777777" w:rsidR="00E26A17" w:rsidRPr="008650E8" w:rsidRDefault="00E26A17" w:rsidP="00AF3CCA">
            <w:pPr>
              <w:rPr>
                <w:rFonts w:cs="Comic Sans MS"/>
                <w:b/>
              </w:rPr>
            </w:pPr>
          </w:p>
        </w:tc>
      </w:tr>
      <w:tr w:rsidR="00E26A17" w:rsidRPr="008650E8" w14:paraId="47027379" w14:textId="77777777" w:rsidTr="00EF309D">
        <w:trPr>
          <w:trHeight w:val="2012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14:paraId="0C8BF159" w14:textId="77777777" w:rsidR="00E26A17" w:rsidRPr="008650E8" w:rsidRDefault="00E26A17" w:rsidP="00AF3CCA">
            <w:pPr>
              <w:rPr>
                <w:rFonts w:cs="Comic Sans MS"/>
              </w:rPr>
            </w:pPr>
            <w:r w:rsidRPr="008650E8">
              <w:rPr>
                <w:rFonts w:cs="Comic Sans MS"/>
              </w:rPr>
              <w:t xml:space="preserve">Résumé (environ </w:t>
            </w:r>
            <w:r w:rsidR="00EF309D">
              <w:rPr>
                <w:rFonts w:cs="Comic Sans MS"/>
              </w:rPr>
              <w:t>15</w:t>
            </w:r>
            <w:r w:rsidRPr="008650E8">
              <w:rPr>
                <w:rFonts w:cs="Comic Sans MS"/>
              </w:rPr>
              <w:t xml:space="preserve"> lignes)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</w:tcPr>
          <w:p w14:paraId="6FB6A56B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4CF4DBA7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689B7127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2E50DD0E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6F3D2D89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1908DD9A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042A281A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6051280A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2479E31F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730AEDC8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0551037A" w14:textId="77777777" w:rsidR="00E26A17" w:rsidRDefault="00E26A17" w:rsidP="00AF3CCA">
            <w:pPr>
              <w:jc w:val="both"/>
              <w:rPr>
                <w:rFonts w:cs="Comic Sans MS"/>
              </w:rPr>
            </w:pPr>
          </w:p>
          <w:p w14:paraId="0FFF0F81" w14:textId="77777777" w:rsidR="00E26A17" w:rsidRPr="008650E8" w:rsidRDefault="00E26A17" w:rsidP="00AF3CCA">
            <w:pPr>
              <w:jc w:val="both"/>
              <w:rPr>
                <w:rFonts w:cs="Comic Sans MS"/>
              </w:rPr>
            </w:pPr>
          </w:p>
        </w:tc>
      </w:tr>
      <w:tr w:rsidR="00E26A17" w:rsidRPr="008650E8" w14:paraId="0BFDB703" w14:textId="77777777" w:rsidTr="00DA36D9">
        <w:trPr>
          <w:trHeight w:val="1190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14:paraId="4414B7DB" w14:textId="77777777" w:rsidR="00E26A17" w:rsidRPr="008650E8" w:rsidRDefault="00E26A17" w:rsidP="00AF3CCA">
            <w:pPr>
              <w:rPr>
                <w:rFonts w:cs="Comic Sans MS"/>
              </w:rPr>
            </w:pPr>
            <w:r w:rsidRPr="008650E8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</w:tcPr>
          <w:p w14:paraId="69DE30A9" w14:textId="77777777" w:rsidR="00E26A17" w:rsidRPr="008650E8" w:rsidRDefault="00E26A17" w:rsidP="00AF3CCA"/>
        </w:tc>
      </w:tr>
    </w:tbl>
    <w:p w14:paraId="1F62ABFC" w14:textId="77777777" w:rsidR="00E26A17" w:rsidRPr="00EF309D" w:rsidRDefault="00E26A17" w:rsidP="00EF309D">
      <w:pPr>
        <w:rPr>
          <w:sz w:val="28"/>
          <w:szCs w:val="28"/>
        </w:rPr>
      </w:pPr>
    </w:p>
    <w:sectPr w:rsidR="00E26A17" w:rsidRPr="00EF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E74F2" w14:textId="77777777" w:rsidR="00DF1776" w:rsidRDefault="00DF1776" w:rsidP="00E26A17">
      <w:pPr>
        <w:spacing w:after="0" w:line="240" w:lineRule="auto"/>
      </w:pPr>
      <w:r>
        <w:separator/>
      </w:r>
    </w:p>
  </w:endnote>
  <w:endnote w:type="continuationSeparator" w:id="0">
    <w:p w14:paraId="75798B77" w14:textId="77777777" w:rsidR="00DF1776" w:rsidRDefault="00DF1776" w:rsidP="00E2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49DF0" w14:textId="77777777" w:rsidR="00DF1776" w:rsidRDefault="00DF1776" w:rsidP="00E26A17">
      <w:pPr>
        <w:spacing w:after="0" w:line="240" w:lineRule="auto"/>
      </w:pPr>
      <w:r>
        <w:separator/>
      </w:r>
    </w:p>
  </w:footnote>
  <w:footnote w:type="continuationSeparator" w:id="0">
    <w:p w14:paraId="7CDFA683" w14:textId="77777777" w:rsidR="00DF1776" w:rsidRDefault="00DF1776" w:rsidP="00E26A17">
      <w:pPr>
        <w:spacing w:after="0" w:line="240" w:lineRule="auto"/>
      </w:pPr>
      <w:r>
        <w:continuationSeparator/>
      </w:r>
    </w:p>
  </w:footnote>
  <w:footnote w:id="1">
    <w:p w14:paraId="0A446BCA" w14:textId="0E51A442" w:rsidR="00EF309D" w:rsidRDefault="00EF309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</w:rPr>
        <w:t xml:space="preserve">L’acception d'un atelier ne dispense pas de l'inscription au colloque.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17"/>
    <w:rsid w:val="000E368C"/>
    <w:rsid w:val="00DA36D9"/>
    <w:rsid w:val="00DF1776"/>
    <w:rsid w:val="00E26A17"/>
    <w:rsid w:val="00E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97F4"/>
  <w15:chartTrackingRefBased/>
  <w15:docId w15:val="{ECEC461F-9ACD-461A-AA9D-F06B6F0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E26A17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6A17"/>
    <w:rPr>
      <w:rFonts w:asciiTheme="majorHAnsi" w:eastAsiaTheme="minorEastAsia" w:hAnsiTheme="majorHAnsi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E26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5504-1C94-4EBD-A11A-5ABE431F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 Borgne</dc:creator>
  <cp:keywords/>
  <dc:description/>
  <cp:lastModifiedBy>pleborgne</cp:lastModifiedBy>
  <cp:revision>3</cp:revision>
  <cp:lastPrinted>2019-01-30T19:15:00Z</cp:lastPrinted>
  <dcterms:created xsi:type="dcterms:W3CDTF">2019-01-30T18:55:00Z</dcterms:created>
  <dcterms:modified xsi:type="dcterms:W3CDTF">2019-02-07T14:02:00Z</dcterms:modified>
</cp:coreProperties>
</file>